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6D412E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3816C6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816C6" w:rsidRPr="0038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16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816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16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7BAE" w:rsidRPr="00AC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014B7A" w:rsidRPr="0028689B">
        <w:rPr>
          <w:rFonts w:ascii="Times New Roman" w:hAnsi="Times New Roman" w:cs="Times New Roman"/>
          <w:sz w:val="24"/>
          <w:szCs w:val="24"/>
        </w:rPr>
        <w:t>Обеспечение первичных мер</w:t>
      </w:r>
      <w:r w:rsidR="00890E6E" w:rsidRPr="0028689B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712F12"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89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546A9B" w:rsidRPr="0028689B">
        <w:rPr>
          <w:rFonts w:ascii="Times New Roman" w:hAnsi="Times New Roman" w:cs="Times New Roman"/>
          <w:sz w:val="24"/>
          <w:szCs w:val="24"/>
        </w:rPr>
        <w:t>муниципальная п</w:t>
      </w:r>
      <w:r w:rsidRPr="0028689B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907BAE" w:rsidRPr="00907BAE">
        <w:rPr>
          <w:rFonts w:ascii="Times New Roman" w:hAnsi="Times New Roman" w:cs="Times New Roman"/>
          <w:sz w:val="24"/>
          <w:szCs w:val="24"/>
        </w:rPr>
        <w:t>2</w:t>
      </w:r>
      <w:r w:rsidRPr="002868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907BAE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28689B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28689B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r w:rsidR="0028689B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FF47A0" w:rsidRPr="003816C6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от </w:t>
      </w:r>
      <w:r w:rsidR="003816C6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="00C1205F" w:rsidRPr="0028689B">
        <w:rPr>
          <w:rFonts w:ascii="Times New Roman" w:hAnsi="Times New Roman" w:cs="Times New Roman"/>
          <w:i/>
          <w:sz w:val="24"/>
          <w:szCs w:val="24"/>
        </w:rPr>
        <w:t>.</w:t>
      </w:r>
      <w:r w:rsidR="00B34548">
        <w:rPr>
          <w:rFonts w:ascii="Times New Roman" w:hAnsi="Times New Roman" w:cs="Times New Roman"/>
          <w:i/>
          <w:sz w:val="24"/>
          <w:szCs w:val="24"/>
        </w:rPr>
        <w:t>1</w:t>
      </w:r>
      <w:r w:rsidR="003816C6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28689B">
        <w:rPr>
          <w:rFonts w:ascii="Times New Roman" w:hAnsi="Times New Roman" w:cs="Times New Roman"/>
          <w:i/>
          <w:sz w:val="24"/>
          <w:szCs w:val="24"/>
        </w:rPr>
        <w:t>. 20</w:t>
      </w:r>
      <w:r w:rsidR="0025230E" w:rsidRPr="0028689B">
        <w:rPr>
          <w:rFonts w:ascii="Times New Roman" w:hAnsi="Times New Roman" w:cs="Times New Roman"/>
          <w:i/>
          <w:sz w:val="24"/>
          <w:szCs w:val="24"/>
        </w:rPr>
        <w:t>2</w:t>
      </w:r>
      <w:r w:rsidR="00907BAE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3816C6">
        <w:rPr>
          <w:rFonts w:ascii="Times New Roman" w:hAnsi="Times New Roman" w:cs="Times New Roman"/>
          <w:i/>
          <w:sz w:val="24"/>
          <w:szCs w:val="24"/>
          <w:lang w:val="en-US"/>
        </w:rPr>
        <w:t>51</w:t>
      </w: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546A9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28689B" w:rsidRDefault="00B435CF" w:rsidP="00890E6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410A39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AC7F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A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F12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410A39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28689B" w:rsidRDefault="00410A39" w:rsidP="004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28689B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28689B" w:rsidRDefault="00712F12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ы ф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712F12" w:rsidRPr="0028689B" w:rsidRDefault="00410A39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F12" w:rsidRPr="0028689B" w:rsidRDefault="00890E6E" w:rsidP="00AC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C1B63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712F12" w:rsidRPr="0028689B" w:rsidTr="00410A39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A32040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100"/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071" w:rsidRPr="00091175" w:rsidRDefault="00284071" w:rsidP="0028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17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1.1. Муниципальная целевая программа </w:t>
      </w:r>
      <w:r w:rsidRPr="00FF07F8">
        <w:rPr>
          <w:rFonts w:ascii="Times New Roman" w:hAnsi="Times New Roman"/>
          <w:sz w:val="24"/>
          <w:szCs w:val="24"/>
        </w:rPr>
        <w:t>«</w:t>
      </w:r>
      <w:r w:rsidRPr="0028689B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муниципального образования</w:t>
      </w:r>
      <w:r w:rsidRPr="00FF07F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006">
        <w:rPr>
          <w:rFonts w:ascii="Times New Roman" w:hAnsi="Times New Roman"/>
          <w:sz w:val="24"/>
          <w:szCs w:val="24"/>
        </w:rPr>
        <w:t xml:space="preserve">разработана в соответствии с нормативными актами Российской Федерации и </w:t>
      </w:r>
      <w:r>
        <w:rPr>
          <w:rFonts w:ascii="Times New Roman" w:hAnsi="Times New Roman"/>
          <w:sz w:val="24"/>
          <w:szCs w:val="24"/>
        </w:rPr>
        <w:t>Саратовской</w:t>
      </w:r>
      <w:r w:rsidRPr="000A7006">
        <w:rPr>
          <w:rFonts w:ascii="Times New Roman" w:hAnsi="Times New Roman"/>
          <w:sz w:val="24"/>
          <w:szCs w:val="24"/>
        </w:rPr>
        <w:t xml:space="preserve"> области, муниципальными нормативными актами: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A7006">
          <w:rPr>
            <w:rFonts w:ascii="Times New Roman" w:hAnsi="Times New Roman"/>
            <w:sz w:val="24"/>
            <w:szCs w:val="24"/>
          </w:rPr>
          <w:t>2003 г</w:t>
        </w:r>
      </w:smartTag>
      <w:r w:rsidRPr="000A7006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284071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>
        <w:rPr>
          <w:rFonts w:ascii="Times New Roman" w:hAnsi="Times New Roman"/>
          <w:sz w:val="24"/>
          <w:szCs w:val="24"/>
        </w:rPr>
        <w:t>.</w:t>
      </w:r>
    </w:p>
    <w:p w:rsidR="00284071" w:rsidRPr="00FC1C99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84071" w:rsidRPr="00FC1C99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Первичные меры пожарной безопасности включают в себя: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1.3.1. Проведение противопожарной пропаганды среди населения по мерам пожарной безопасности;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1.3.2. Обеспечение необходимых условий для привлечения населения к работам по предупреждению и тушению пожаров в составе добровольной пожарной охраны или посредством привлечения к социально значимым работам;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Оповещение населения в случае возникновения пожара;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Определение перечня первичных средств тушения пожаров для помещений и строений, находящихся в собственности граждан;</w:t>
      </w:r>
    </w:p>
    <w:p w:rsidR="00284071" w:rsidRPr="00FC1C99" w:rsidRDefault="00A41665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</w:t>
      </w:r>
      <w:r w:rsidR="00284071"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Доступность вызова служб пожарной безопасности;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Своевременная очистка территории населенн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горючих отходов, мусора, сухой растительности;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Содержание в исправном состоянии в любое время года противопожарных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гидрантов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водоемов;</w:t>
      </w:r>
    </w:p>
    <w:p w:rsidR="00284071" w:rsidRDefault="00A41665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1.3.9</w:t>
      </w:r>
      <w:r w:rsidR="00284071"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Соблюдение противопожарных требований при организации и проведению мероприятий с массовым пребыванием людей.</w:t>
      </w:r>
    </w:p>
    <w:p w:rsidR="00284071" w:rsidRDefault="00284071" w:rsidP="00284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</w:t>
      </w:r>
      <w:r w:rsidRPr="0028689B">
        <w:rPr>
          <w:rFonts w:ascii="Times New Roman" w:hAnsi="Times New Roman" w:cs="Times New Roman"/>
          <w:bCs/>
          <w:sz w:val="24"/>
          <w:szCs w:val="24"/>
        </w:rPr>
        <w:t>становление особого противопожарного режима в случае повышения пожарной опасности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284071" w:rsidRPr="00284071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1.3.1</w:t>
      </w:r>
      <w:r w:rsidR="00A4166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28689B">
        <w:rPr>
          <w:rFonts w:ascii="Times New Roman" w:hAnsi="Times New Roman" w:cs="Times New Roman"/>
          <w:bCs/>
          <w:sz w:val="24"/>
          <w:szCs w:val="24"/>
        </w:rPr>
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bookmarkEnd w:id="0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200"/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415DA4" w:rsidRPr="0028689B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bookmarkEnd w:id="1"/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15DA4" w:rsidRPr="002868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sz w:val="24"/>
          <w:szCs w:val="24"/>
        </w:rPr>
        <w:t xml:space="preserve">рограммы являются: 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оптимизация системы защиты жизни и здоровья населения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от пожаров и их последствий путем качественного материального обеспечения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й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повышение эффективности проводимой противопожарной пропаганды с населением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35CF" w:rsidRPr="0028689B" w:rsidRDefault="00B435CF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>обеспечение необходимых условий для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реализации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 xml:space="preserve">й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организации добровольн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ых </w:t>
      </w:r>
      <w:r w:rsidRPr="0028689B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415DA4" w:rsidRPr="0028689B">
        <w:rPr>
          <w:rFonts w:ascii="Times New Roman" w:hAnsi="Times New Roman" w:cs="Times New Roman"/>
          <w:sz w:val="24"/>
          <w:szCs w:val="24"/>
        </w:rPr>
        <w:t>ых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415DA4" w:rsidRPr="0028689B">
        <w:rPr>
          <w:rFonts w:ascii="Times New Roman" w:hAnsi="Times New Roman" w:cs="Times New Roman"/>
          <w:sz w:val="24"/>
          <w:szCs w:val="24"/>
        </w:rPr>
        <w:t>дежурных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а также для участия граждан в обеспечении первичных мер пожарной безопасности в иных формах;</w:t>
      </w:r>
    </w:p>
    <w:p w:rsidR="00410A39" w:rsidRPr="0028689B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и строительство </w:t>
      </w:r>
      <w:r w:rsidRPr="0028689B">
        <w:rPr>
          <w:rFonts w:ascii="Times New Roman" w:hAnsi="Times New Roman" w:cs="Times New Roman"/>
          <w:sz w:val="24"/>
          <w:szCs w:val="24"/>
        </w:rPr>
        <w:t xml:space="preserve">новых мест водозабора </w:t>
      </w:r>
      <w:r w:rsidR="002477AA" w:rsidRPr="0028689B">
        <w:rPr>
          <w:rFonts w:ascii="Times New Roman" w:hAnsi="Times New Roman" w:cs="Times New Roman"/>
          <w:sz w:val="24"/>
          <w:szCs w:val="24"/>
        </w:rPr>
        <w:t xml:space="preserve">на </w:t>
      </w:r>
      <w:r w:rsidRPr="0028689B">
        <w:rPr>
          <w:rFonts w:ascii="Times New Roman" w:hAnsi="Times New Roman" w:cs="Times New Roman"/>
          <w:sz w:val="24"/>
          <w:szCs w:val="24"/>
        </w:rPr>
        <w:t>противопожарные нужды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7AA" w:rsidRPr="0028689B" w:rsidRDefault="002477AA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обеспечение сохранности имущества находящегося в муниципальной собственности;</w:t>
      </w:r>
    </w:p>
    <w:p w:rsidR="00410A39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 и действиям при пожарах.</w:t>
      </w:r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71" w:rsidRPr="00284071" w:rsidRDefault="00284071" w:rsidP="002840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284071" w:rsidRPr="00091175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2022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71" w:rsidRPr="00284071" w:rsidRDefault="00284071" w:rsidP="00284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Целевые индикаторы, показатели достижения целей и решения задач муниципальной программы</w:t>
      </w:r>
    </w:p>
    <w:p w:rsidR="00A41665" w:rsidRDefault="00284071" w:rsidP="00A41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индикаторы, показатели Программы соответствуют ее приоритетам,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Программы носит открытый характер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возможность корректировки в случае потери информативности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показателя.</w:t>
      </w:r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- Оборудование площадки с твердым покрытием к пожарным </w:t>
      </w:r>
      <w:r w:rsidR="00C41D20">
        <w:rPr>
          <w:rFonts w:ascii="Times New Roman" w:eastAsia="Calibri" w:hAnsi="Times New Roman" w:cs="Times New Roman"/>
          <w:sz w:val="24"/>
          <w:szCs w:val="24"/>
        </w:rPr>
        <w:t>гидрантам</w:t>
      </w:r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 для установки пожарных автомобилей и забора воды в любое время года</w:t>
      </w:r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 (%)</w:t>
      </w:r>
      <w:proofErr w:type="gramEnd"/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>- Введение в эксплуатацию новых источников противопожарного водоснабжения (</w:t>
      </w:r>
      <w:proofErr w:type="spellStart"/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>- Устройство минерализованной полосы в населенном пункте  (</w:t>
      </w:r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A416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Публикация материалов по противопожарной тематике в средствах массовой информации (</w:t>
      </w:r>
      <w:proofErr w:type="spellStart"/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</w:rPr>
        <w:t>- Проведение с населением инструктажей под роспись по вопросам пожарной безопасности</w:t>
      </w:r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</w:rPr>
        <w:t xml:space="preserve"> (%)</w:t>
      </w:r>
      <w:proofErr w:type="gramEnd"/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и противопожарная пропаганда (издание плакатов, памяток для противопожарной пропаганды) (</w:t>
      </w:r>
      <w:proofErr w:type="spellStart"/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sz w:val="24"/>
          <w:szCs w:val="24"/>
        </w:rPr>
        <w:t>-Приобретение противопожарного инвентаря (укомплектованный пожарный щит)</w:t>
      </w:r>
      <w:r w:rsidR="00C41D20">
        <w:rPr>
          <w:rFonts w:ascii="Times New Roman" w:hAnsi="Times New Roman" w:cs="Times New Roman"/>
          <w:sz w:val="24"/>
          <w:szCs w:val="24"/>
        </w:rPr>
        <w:t xml:space="preserve"> </w:t>
      </w:r>
      <w:r w:rsidRPr="00A416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4166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sz w:val="24"/>
          <w:szCs w:val="24"/>
        </w:rPr>
        <w:t>- Поддержание в надлежащем состоянии  средств по оповещению населения о пожаре в населенных пунктах</w:t>
      </w:r>
      <w:proofErr w:type="gramStart"/>
      <w:r w:rsidRPr="00A41665">
        <w:rPr>
          <w:rFonts w:ascii="Times New Roman" w:hAnsi="Times New Roman" w:cs="Times New Roman"/>
          <w:sz w:val="24"/>
          <w:szCs w:val="24"/>
        </w:rPr>
        <w:t xml:space="preserve"> (%)  </w:t>
      </w:r>
      <w:proofErr w:type="gramEnd"/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EA" w:rsidRPr="005D5FEA" w:rsidRDefault="005D5FEA" w:rsidP="005D5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Финансовое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</w:t>
      </w: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атериально-техническое обеспечение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Финансовое обеспечение первичных мер пожарной безопасности в границах поселения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Финансовое обеспечение первичных мер пожарной безопасности предусматривает: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5.2.1. Разработку, утверждение и исполнение местного бюджета в части расходов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5.2.2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Проведение противопожарной пропаганды среди населения о первичных мерах пожарной безопасности;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Информирование населения о принятых администрацией решениях по обеспечению пожарной безопасности;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Финансирование мер по обеспечению  пожарной безопасности в границах поселения осуществляется за счёт средств местного бюджета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Материально-техническое обеспечение первичных мер пожарной безопасности предусматривает: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содержание в исправном состоянии в любое время года пожарных гидрантов и водоёмов,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подъездных путей к наружным источникам водозабора, гидрантам.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соблюдение противопожарных требований на подведомственных объектах;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оснащение территорий общего пользования первичными средствами тушения пожаров и противопожарным инвентарём.</w:t>
      </w:r>
    </w:p>
    <w:p w:rsidR="005D5FEA" w:rsidRDefault="005D5FEA" w:rsidP="005D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FEA" w:rsidRPr="005D5FEA" w:rsidRDefault="005D5FEA" w:rsidP="005D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96F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Pr="00396FAD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 и</w:t>
      </w:r>
      <w:r w:rsidRPr="00396FAD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A7006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</w:t>
      </w:r>
      <w:r w:rsidR="00FD7C9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</w:t>
      </w:r>
      <w:r w:rsidRPr="000A7006">
        <w:rPr>
          <w:rFonts w:ascii="Times New Roman" w:hAnsi="Times New Roman"/>
          <w:sz w:val="24"/>
          <w:szCs w:val="24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A7006">
        <w:rPr>
          <w:rFonts w:ascii="Times New Roman" w:hAnsi="Times New Roman"/>
          <w:sz w:val="24"/>
          <w:szCs w:val="24"/>
        </w:rPr>
        <w:t xml:space="preserve"> Общий </w:t>
      </w:r>
      <w:proofErr w:type="gramStart"/>
      <w:r w:rsidRPr="000A70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7006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</w:t>
      </w:r>
      <w:r>
        <w:rPr>
          <w:rFonts w:ascii="Times New Roman" w:hAnsi="Times New Roman"/>
          <w:sz w:val="24"/>
          <w:szCs w:val="24"/>
        </w:rPr>
        <w:t xml:space="preserve">граммы осуществляет </w:t>
      </w:r>
      <w:r w:rsidRPr="000A700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96FAD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0A7006">
        <w:rPr>
          <w:rFonts w:ascii="Times New Roman" w:hAnsi="Times New Roman"/>
          <w:sz w:val="24"/>
          <w:szCs w:val="24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D5FEA" w:rsidRPr="000A7006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0A7006">
        <w:rPr>
          <w:rFonts w:ascii="Times New Roman" w:hAnsi="Times New Roman"/>
          <w:sz w:val="24"/>
          <w:szCs w:val="24"/>
        </w:rPr>
        <w:t xml:space="preserve">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10A39" w:rsidRP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                          </w:t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bookmarkStart w:id="2" w:name="sub_18300"/>
    </w:p>
    <w:p w:rsidR="00410A39" w:rsidRPr="0028689B" w:rsidRDefault="005D5FEA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</w:p>
    <w:bookmarkEnd w:id="2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AC7F45" w:rsidTr="004309AB">
        <w:tc>
          <w:tcPr>
            <w:tcW w:w="56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907B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г (тыс</w:t>
            </w:r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A3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гидранта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7BAE" w:rsidRPr="00AC7F45" w:rsidTr="004309AB">
        <w:tc>
          <w:tcPr>
            <w:tcW w:w="567" w:type="dxa"/>
            <w:shd w:val="clear" w:color="auto" w:fill="auto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в исправном состоянии средств обеспечения пожарной безопасности общественных зданий, находящихся в </w:t>
            </w: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040" w:rsidRPr="00AC7F45" w:rsidTr="004309AB">
        <w:tc>
          <w:tcPr>
            <w:tcW w:w="567" w:type="dxa"/>
          </w:tcPr>
          <w:p w:rsidR="00A32040" w:rsidRPr="00AC7F45" w:rsidRDefault="00A32040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извещателей,выполнение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установке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A320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1417" w:type="dxa"/>
            <w:vAlign w:val="center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954" w:type="dxa"/>
            <w:gridSpan w:val="2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</w:tbl>
    <w:p w:rsidR="0028689B" w:rsidRPr="0028689B" w:rsidRDefault="0028689B" w:rsidP="00AC7F4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sub_18500"/>
      <w:bookmarkEnd w:id="3"/>
    </w:p>
    <w:sectPr w:rsidR="0028689B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D3420"/>
    <w:rsid w:val="000D6E5E"/>
    <w:rsid w:val="000F4B65"/>
    <w:rsid w:val="00106087"/>
    <w:rsid w:val="0013360C"/>
    <w:rsid w:val="00135853"/>
    <w:rsid w:val="00141E4B"/>
    <w:rsid w:val="00162A0D"/>
    <w:rsid w:val="00190A4E"/>
    <w:rsid w:val="00197C6B"/>
    <w:rsid w:val="001D1E36"/>
    <w:rsid w:val="001F2844"/>
    <w:rsid w:val="002477AA"/>
    <w:rsid w:val="0025230E"/>
    <w:rsid w:val="00280E4F"/>
    <w:rsid w:val="00284071"/>
    <w:rsid w:val="0028689B"/>
    <w:rsid w:val="002B72AC"/>
    <w:rsid w:val="002D1259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907BAE"/>
    <w:rsid w:val="009424B6"/>
    <w:rsid w:val="00971083"/>
    <w:rsid w:val="009745B5"/>
    <w:rsid w:val="00976718"/>
    <w:rsid w:val="00977347"/>
    <w:rsid w:val="009D5EBE"/>
    <w:rsid w:val="00A024AF"/>
    <w:rsid w:val="00A04D8B"/>
    <w:rsid w:val="00A32040"/>
    <w:rsid w:val="00A32E0A"/>
    <w:rsid w:val="00A41665"/>
    <w:rsid w:val="00A821BB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C1205F"/>
    <w:rsid w:val="00C33785"/>
    <w:rsid w:val="00C36608"/>
    <w:rsid w:val="00C41D20"/>
    <w:rsid w:val="00C7123A"/>
    <w:rsid w:val="00C82394"/>
    <w:rsid w:val="00C87BCD"/>
    <w:rsid w:val="00D22E44"/>
    <w:rsid w:val="00D2516C"/>
    <w:rsid w:val="00D45C37"/>
    <w:rsid w:val="00D7565D"/>
    <w:rsid w:val="00D87F05"/>
    <w:rsid w:val="00DA1DE6"/>
    <w:rsid w:val="00DB7368"/>
    <w:rsid w:val="00DF0751"/>
    <w:rsid w:val="00E1557D"/>
    <w:rsid w:val="00E4493F"/>
    <w:rsid w:val="00E47649"/>
    <w:rsid w:val="00E50E57"/>
    <w:rsid w:val="00E71712"/>
    <w:rsid w:val="00E7595B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2021-10-25T07:42:00Z</cp:lastPrinted>
  <dcterms:created xsi:type="dcterms:W3CDTF">2019-10-03T09:11:00Z</dcterms:created>
  <dcterms:modified xsi:type="dcterms:W3CDTF">2021-12-03T10:04:00Z</dcterms:modified>
</cp:coreProperties>
</file>